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81" w:rsidRPr="005A7D8F" w:rsidRDefault="00E62281" w:rsidP="00E62281">
      <w:pPr>
        <w:jc w:val="right"/>
      </w:pPr>
    </w:p>
    <w:tbl>
      <w:tblPr>
        <w:tblW w:w="9911" w:type="dxa"/>
        <w:tblInd w:w="-3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0"/>
        <w:gridCol w:w="187"/>
        <w:gridCol w:w="2057"/>
        <w:gridCol w:w="187"/>
        <w:gridCol w:w="3740"/>
      </w:tblGrid>
      <w:tr w:rsidR="00E62281" w:rsidRPr="005A7D8F" w:rsidTr="009B5FDE">
        <w:trPr>
          <w:trHeight w:val="1976"/>
        </w:trPr>
        <w:tc>
          <w:tcPr>
            <w:tcW w:w="3927" w:type="dxa"/>
            <w:gridSpan w:val="2"/>
          </w:tcPr>
          <w:p w:rsidR="00E62281" w:rsidRPr="005A7D8F" w:rsidRDefault="00E62281" w:rsidP="009B5FDE">
            <w:pPr>
              <w:jc w:val="center"/>
              <w:rPr>
                <w:b/>
                <w:bCs/>
                <w:sz w:val="20"/>
                <w:szCs w:val="20"/>
              </w:rPr>
            </w:pPr>
            <w:r w:rsidRPr="005A7D8F">
              <w:rPr>
                <w:b/>
                <w:bCs/>
                <w:sz w:val="20"/>
                <w:szCs w:val="20"/>
              </w:rPr>
              <w:t xml:space="preserve">CONSILIUL SUPREM PENTRU </w:t>
            </w:r>
          </w:p>
          <w:p w:rsidR="00E62281" w:rsidRPr="005A7D8F" w:rsidRDefault="00E62281" w:rsidP="009B5FDE">
            <w:pPr>
              <w:jc w:val="center"/>
              <w:rPr>
                <w:b/>
                <w:bCs/>
                <w:sz w:val="20"/>
                <w:szCs w:val="20"/>
              </w:rPr>
            </w:pPr>
            <w:r w:rsidRPr="005A7D8F">
              <w:rPr>
                <w:b/>
                <w:bCs/>
                <w:sz w:val="20"/>
                <w:szCs w:val="20"/>
              </w:rPr>
              <w:t xml:space="preserve">ŞTIINŢĂ ŞI DEZVOLTARE TEHNOLOGICĂ AL ACADEMIEI </w:t>
            </w:r>
            <w:r w:rsidRPr="005A7D8F">
              <w:rPr>
                <w:b/>
                <w:bCs/>
                <w:sz w:val="20"/>
                <w:szCs w:val="20"/>
              </w:rPr>
              <w:br/>
              <w:t>DE ŞTIINŢE A MOLDOVEI</w:t>
            </w:r>
          </w:p>
        </w:tc>
        <w:tc>
          <w:tcPr>
            <w:tcW w:w="2057" w:type="dxa"/>
          </w:tcPr>
          <w:p w:rsidR="00E62281" w:rsidRPr="005A7D8F" w:rsidRDefault="00E62281" w:rsidP="009B5FD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A7D8F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850900" cy="1111250"/>
                  <wp:effectExtent l="19050" t="0" r="6350" b="0"/>
                  <wp:docPr id="1" name="Рисунок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111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7" w:type="dxa"/>
            <w:gridSpan w:val="2"/>
          </w:tcPr>
          <w:p w:rsidR="00E62281" w:rsidRPr="005A7D8F" w:rsidRDefault="00E62281" w:rsidP="009B5FDE">
            <w:pPr>
              <w:jc w:val="center"/>
              <w:rPr>
                <w:b/>
                <w:bCs/>
                <w:sz w:val="20"/>
                <w:szCs w:val="20"/>
              </w:rPr>
            </w:pPr>
            <w:r w:rsidRPr="005A7D8F">
              <w:rPr>
                <w:b/>
                <w:bCs/>
                <w:sz w:val="20"/>
                <w:szCs w:val="20"/>
              </w:rPr>
              <w:t xml:space="preserve">SUPREME COUNCIL ON SCIENCE </w:t>
            </w:r>
          </w:p>
          <w:p w:rsidR="00E62281" w:rsidRPr="005A7D8F" w:rsidRDefault="00E62281" w:rsidP="009B5FDE">
            <w:pPr>
              <w:jc w:val="center"/>
              <w:rPr>
                <w:b/>
                <w:bCs/>
                <w:sz w:val="20"/>
                <w:szCs w:val="20"/>
              </w:rPr>
            </w:pPr>
            <w:r w:rsidRPr="005A7D8F">
              <w:rPr>
                <w:b/>
                <w:bCs/>
                <w:sz w:val="20"/>
                <w:szCs w:val="20"/>
              </w:rPr>
              <w:t xml:space="preserve">AND TECHNOLOGICAL DEVELOPMENT OF THE ACADEMY OF SCIENCES OF MOLDOVA </w:t>
            </w:r>
          </w:p>
        </w:tc>
      </w:tr>
      <w:tr w:rsidR="00E62281" w:rsidRPr="005A7D8F" w:rsidTr="009B5FDE">
        <w:trPr>
          <w:trHeight w:val="307"/>
        </w:trPr>
        <w:tc>
          <w:tcPr>
            <w:tcW w:w="9911" w:type="dxa"/>
            <w:gridSpan w:val="5"/>
          </w:tcPr>
          <w:p w:rsidR="00E62281" w:rsidRPr="005A7D8F" w:rsidRDefault="00E62281" w:rsidP="009B5FDE"/>
        </w:tc>
      </w:tr>
      <w:tr w:rsidR="00E62281" w:rsidRPr="005A7D8F" w:rsidTr="009B5FDE">
        <w:tblPrEx>
          <w:tblCellMar>
            <w:left w:w="108" w:type="dxa"/>
            <w:right w:w="108" w:type="dxa"/>
          </w:tblCellMar>
        </w:tblPrEx>
        <w:tc>
          <w:tcPr>
            <w:tcW w:w="3740" w:type="dxa"/>
          </w:tcPr>
          <w:p w:rsidR="00E62281" w:rsidRPr="005A7D8F" w:rsidRDefault="00E62281" w:rsidP="009B5FDE"/>
        </w:tc>
        <w:tc>
          <w:tcPr>
            <w:tcW w:w="2431" w:type="dxa"/>
            <w:gridSpan w:val="3"/>
          </w:tcPr>
          <w:p w:rsidR="00E62281" w:rsidRPr="005A7D8F" w:rsidRDefault="00E62281" w:rsidP="009B5FDE">
            <w:pPr>
              <w:pStyle w:val="Heading1"/>
              <w:rPr>
                <w:bCs w:val="0"/>
                <w:sz w:val="32"/>
              </w:rPr>
            </w:pPr>
            <w:r w:rsidRPr="005A7D8F">
              <w:rPr>
                <w:bCs w:val="0"/>
                <w:spacing w:val="20"/>
                <w:sz w:val="32"/>
              </w:rPr>
              <w:t>HOTĂRÎRE</w:t>
            </w:r>
          </w:p>
        </w:tc>
        <w:tc>
          <w:tcPr>
            <w:tcW w:w="3740" w:type="dxa"/>
          </w:tcPr>
          <w:p w:rsidR="00E62281" w:rsidRPr="005A7D8F" w:rsidRDefault="00E62281" w:rsidP="009B5FDE">
            <w:pPr>
              <w:jc w:val="right"/>
            </w:pPr>
          </w:p>
          <w:p w:rsidR="00E62281" w:rsidRPr="005A7D8F" w:rsidRDefault="00E62281" w:rsidP="009B5FDE">
            <w:pPr>
              <w:jc w:val="right"/>
              <w:rPr>
                <w:b/>
              </w:rPr>
            </w:pPr>
          </w:p>
        </w:tc>
      </w:tr>
      <w:tr w:rsidR="00E62281" w:rsidRPr="005A7D8F" w:rsidTr="009B5FDE">
        <w:tblPrEx>
          <w:tblCellMar>
            <w:left w:w="108" w:type="dxa"/>
            <w:right w:w="108" w:type="dxa"/>
          </w:tblCellMar>
        </w:tblPrEx>
        <w:tc>
          <w:tcPr>
            <w:tcW w:w="3740" w:type="dxa"/>
          </w:tcPr>
          <w:p w:rsidR="00E62281" w:rsidRPr="005A7D8F" w:rsidRDefault="00E62281" w:rsidP="009B5FDE">
            <w:pPr>
              <w:spacing w:line="180" w:lineRule="exact"/>
            </w:pPr>
          </w:p>
        </w:tc>
        <w:tc>
          <w:tcPr>
            <w:tcW w:w="2431" w:type="dxa"/>
            <w:gridSpan w:val="3"/>
          </w:tcPr>
          <w:p w:rsidR="00E62281" w:rsidRPr="005A7D8F" w:rsidRDefault="00E62281" w:rsidP="009B5FDE">
            <w:pPr>
              <w:spacing w:line="180" w:lineRule="exact"/>
              <w:jc w:val="center"/>
              <w:rPr>
                <w:b/>
                <w:sz w:val="30"/>
              </w:rPr>
            </w:pPr>
          </w:p>
        </w:tc>
        <w:tc>
          <w:tcPr>
            <w:tcW w:w="3740" w:type="dxa"/>
          </w:tcPr>
          <w:p w:rsidR="00E62281" w:rsidRPr="005A7D8F" w:rsidRDefault="00E62281" w:rsidP="009B5FDE">
            <w:pPr>
              <w:spacing w:line="180" w:lineRule="exact"/>
            </w:pPr>
          </w:p>
        </w:tc>
      </w:tr>
      <w:tr w:rsidR="00E62281" w:rsidRPr="005A7D8F" w:rsidTr="009B5FDE">
        <w:tblPrEx>
          <w:tblCellMar>
            <w:left w:w="108" w:type="dxa"/>
            <w:right w:w="108" w:type="dxa"/>
          </w:tblCellMar>
        </w:tblPrEx>
        <w:trPr>
          <w:trHeight w:val="174"/>
        </w:trPr>
        <w:tc>
          <w:tcPr>
            <w:tcW w:w="3740" w:type="dxa"/>
          </w:tcPr>
          <w:p w:rsidR="00E62281" w:rsidRPr="005A7D8F" w:rsidRDefault="00E62281" w:rsidP="001B3D34">
            <w:r w:rsidRPr="005A7D8F">
              <w:t xml:space="preserve">„ </w:t>
            </w:r>
            <w:r w:rsidR="001B3D34">
              <w:t xml:space="preserve">21 </w:t>
            </w:r>
            <w:r w:rsidRPr="005A7D8F">
              <w:t xml:space="preserve">”  </w:t>
            </w:r>
            <w:r w:rsidR="00367213" w:rsidRPr="005A7D8F">
              <w:t>aprilie</w:t>
            </w:r>
            <w:r w:rsidRPr="005A7D8F">
              <w:t xml:space="preserve">  2016</w:t>
            </w:r>
          </w:p>
        </w:tc>
        <w:tc>
          <w:tcPr>
            <w:tcW w:w="2431" w:type="dxa"/>
            <w:gridSpan w:val="3"/>
          </w:tcPr>
          <w:p w:rsidR="00E62281" w:rsidRPr="005A7D8F" w:rsidRDefault="00E62281" w:rsidP="009B5FDE">
            <w:pPr>
              <w:jc w:val="center"/>
            </w:pPr>
          </w:p>
        </w:tc>
        <w:tc>
          <w:tcPr>
            <w:tcW w:w="3740" w:type="dxa"/>
          </w:tcPr>
          <w:p w:rsidR="00E62281" w:rsidRPr="005A7D8F" w:rsidRDefault="00E62281" w:rsidP="00E057FB">
            <w:pPr>
              <w:pStyle w:val="Heading2"/>
              <w:spacing w:after="0"/>
              <w:jc w:val="center"/>
              <w:rPr>
                <w:sz w:val="24"/>
              </w:rPr>
            </w:pPr>
            <w:r w:rsidRPr="005A7D8F">
              <w:rPr>
                <w:b w:val="0"/>
                <w:bCs/>
                <w:sz w:val="24"/>
              </w:rPr>
              <w:t xml:space="preserve">                         </w:t>
            </w:r>
            <w:r w:rsidR="00E057FB">
              <w:rPr>
                <w:b w:val="0"/>
                <w:bCs/>
                <w:sz w:val="24"/>
              </w:rPr>
              <w:t xml:space="preserve">  </w:t>
            </w:r>
            <w:r w:rsidRPr="005A7D8F">
              <w:rPr>
                <w:b w:val="0"/>
                <w:bCs/>
                <w:sz w:val="24"/>
              </w:rPr>
              <w:t xml:space="preserve">Nr. </w:t>
            </w:r>
            <w:r w:rsidR="001503F1">
              <w:rPr>
                <w:b w:val="0"/>
                <w:bCs/>
                <w:sz w:val="24"/>
              </w:rPr>
              <w:softHyphen/>
            </w:r>
            <w:r w:rsidR="00E057FB">
              <w:rPr>
                <w:b w:val="0"/>
                <w:bCs/>
                <w:sz w:val="24"/>
              </w:rPr>
              <w:t>121</w:t>
            </w:r>
          </w:p>
        </w:tc>
      </w:tr>
      <w:tr w:rsidR="00E62281" w:rsidRPr="005A7D8F" w:rsidTr="009B5FDE">
        <w:tblPrEx>
          <w:tblCellMar>
            <w:left w:w="108" w:type="dxa"/>
            <w:right w:w="108" w:type="dxa"/>
          </w:tblCellMar>
        </w:tblPrEx>
        <w:tc>
          <w:tcPr>
            <w:tcW w:w="3740" w:type="dxa"/>
          </w:tcPr>
          <w:p w:rsidR="00E62281" w:rsidRPr="005A7D8F" w:rsidRDefault="00E62281" w:rsidP="009B5FDE"/>
        </w:tc>
        <w:tc>
          <w:tcPr>
            <w:tcW w:w="2431" w:type="dxa"/>
            <w:gridSpan w:val="3"/>
          </w:tcPr>
          <w:p w:rsidR="00E62281" w:rsidRPr="005A7D8F" w:rsidRDefault="00E62281" w:rsidP="009B5FDE">
            <w:pPr>
              <w:jc w:val="center"/>
              <w:rPr>
                <w:b/>
                <w:sz w:val="30"/>
              </w:rPr>
            </w:pPr>
            <w:r w:rsidRPr="005A7D8F">
              <w:t>mun. Chişinău</w:t>
            </w:r>
          </w:p>
        </w:tc>
        <w:tc>
          <w:tcPr>
            <w:tcW w:w="3740" w:type="dxa"/>
          </w:tcPr>
          <w:p w:rsidR="00E62281" w:rsidRPr="005A7D8F" w:rsidRDefault="00E62281" w:rsidP="009B5FDE"/>
        </w:tc>
      </w:tr>
    </w:tbl>
    <w:p w:rsidR="00E62281" w:rsidRPr="005A7D8F" w:rsidRDefault="00E62281" w:rsidP="00E62281">
      <w:pPr>
        <w:jc w:val="center"/>
      </w:pPr>
    </w:p>
    <w:p w:rsidR="00E62281" w:rsidRPr="005A7D8F" w:rsidRDefault="00E62281" w:rsidP="00E62281"/>
    <w:p w:rsidR="00AE5E30" w:rsidRPr="005A7D8F" w:rsidRDefault="00E62281" w:rsidP="004C634B">
      <w:pPr>
        <w:spacing w:line="280" w:lineRule="exact"/>
      </w:pPr>
      <w:r w:rsidRPr="005A7D8F">
        <w:t xml:space="preserve">Cu privire la </w:t>
      </w:r>
      <w:r w:rsidR="00AE5E30" w:rsidRPr="005A7D8F">
        <w:t xml:space="preserve">eficientizarea activității </w:t>
      </w:r>
      <w:r w:rsidR="008B3F88" w:rsidRPr="005A7D8F">
        <w:rPr>
          <w:bCs/>
          <w:iCs/>
        </w:rPr>
        <w:t>Liceului</w:t>
      </w:r>
    </w:p>
    <w:p w:rsidR="00E62281" w:rsidRPr="005A7D8F" w:rsidRDefault="00E62281" w:rsidP="004C634B">
      <w:pPr>
        <w:spacing w:line="280" w:lineRule="exact"/>
        <w:rPr>
          <w:bCs/>
          <w:iCs/>
        </w:rPr>
      </w:pPr>
      <w:r w:rsidRPr="005A7D8F">
        <w:rPr>
          <w:bCs/>
          <w:iCs/>
        </w:rPr>
        <w:t xml:space="preserve">Academiei de Științe a Moldovei </w:t>
      </w:r>
    </w:p>
    <w:p w:rsidR="00E62281" w:rsidRPr="005A7D8F" w:rsidRDefault="00E62281" w:rsidP="004C634B">
      <w:pPr>
        <w:spacing w:line="280" w:lineRule="exact"/>
        <w:jc w:val="both"/>
      </w:pPr>
    </w:p>
    <w:p w:rsidR="00E62281" w:rsidRPr="005A7D8F" w:rsidRDefault="00E62281" w:rsidP="004C634B">
      <w:pPr>
        <w:spacing w:line="280" w:lineRule="exact"/>
        <w:jc w:val="both"/>
      </w:pPr>
      <w:r w:rsidRPr="005A7D8F">
        <w:tab/>
        <w:t>În</w:t>
      </w:r>
      <w:r w:rsidR="00AE5E30" w:rsidRPr="005A7D8F">
        <w:t xml:space="preserve"> scopul îmbunătățirii </w:t>
      </w:r>
      <w:r w:rsidR="00E71145" w:rsidRPr="005A7D8F">
        <w:t>și eficientizării activității Liceului Academiei de Științe a Moldovei și orientării elevilor cu performanțe spre o carieră de cercetare științifică, c</w:t>
      </w:r>
      <w:r w:rsidR="005A7D8F" w:rsidRPr="005A7D8F">
        <w:t>â</w:t>
      </w:r>
      <w:r w:rsidR="00E71145" w:rsidRPr="005A7D8F">
        <w:t>t și în baza audierii</w:t>
      </w:r>
      <w:r w:rsidRPr="005A7D8F">
        <w:t xml:space="preserve"> rapo</w:t>
      </w:r>
      <w:r w:rsidR="00462A33" w:rsidRPr="005A7D8F">
        <w:t>a</w:t>
      </w:r>
      <w:r w:rsidRPr="005A7D8F">
        <w:t>rt</w:t>
      </w:r>
      <w:r w:rsidR="00462A33" w:rsidRPr="005A7D8F">
        <w:t>elor</w:t>
      </w:r>
      <w:r w:rsidRPr="005A7D8F">
        <w:t xml:space="preserve"> prezentat</w:t>
      </w:r>
      <w:r w:rsidR="00462A33" w:rsidRPr="005A7D8F">
        <w:t>e</w:t>
      </w:r>
      <w:r w:rsidRPr="005A7D8F">
        <w:t xml:space="preserve"> de Comisia responsabilă de eficientizarea activității Liceului AȘM</w:t>
      </w:r>
      <w:r w:rsidR="00462A33" w:rsidRPr="005A7D8F">
        <w:t xml:space="preserve"> (Iu. Cristea)</w:t>
      </w:r>
      <w:r w:rsidRPr="005A7D8F">
        <w:t xml:space="preserve"> și Universității AȘM </w:t>
      </w:r>
      <w:r w:rsidR="00462A33" w:rsidRPr="005A7D8F">
        <w:t>(dr.</w:t>
      </w:r>
      <w:r w:rsidR="00E6489D" w:rsidRPr="005A7D8F">
        <w:t xml:space="preserve"> </w:t>
      </w:r>
      <w:r w:rsidR="00462A33" w:rsidRPr="005A7D8F">
        <w:t xml:space="preserve">T. </w:t>
      </w:r>
      <w:proofErr w:type="spellStart"/>
      <w:r w:rsidR="00462A33" w:rsidRPr="005A7D8F">
        <w:t>Potîng</w:t>
      </w:r>
      <w:proofErr w:type="spellEnd"/>
      <w:r w:rsidR="00462A33" w:rsidRPr="005A7D8F">
        <w:t xml:space="preserve">), </w:t>
      </w:r>
      <w:r w:rsidR="005A7D8F" w:rsidRPr="005A7D8F">
        <w:t xml:space="preserve">creată prin </w:t>
      </w:r>
      <w:r w:rsidRPr="005A7D8F">
        <w:t>Dispoziția nr.09-10 din 18 ianuarie 2016, Consiliul Suprem pentru Ştiinţă şi Dezvoltare Tehnologică</w:t>
      </w:r>
      <w:r w:rsidR="00462A33" w:rsidRPr="005A7D8F">
        <w:t xml:space="preserve"> </w:t>
      </w:r>
      <w:r w:rsidR="005A7D8F" w:rsidRPr="005A7D8F">
        <w:t xml:space="preserve"> </w:t>
      </w:r>
      <w:r w:rsidRPr="005A7D8F">
        <w:rPr>
          <w:b/>
        </w:rPr>
        <w:t>H O T Ă R Ă Ş T E:</w:t>
      </w:r>
    </w:p>
    <w:p w:rsidR="00E62281" w:rsidRPr="005A7D8F" w:rsidRDefault="00E62281" w:rsidP="004C634B">
      <w:pPr>
        <w:spacing w:line="280" w:lineRule="exact"/>
        <w:jc w:val="both"/>
      </w:pPr>
    </w:p>
    <w:p w:rsidR="00E62281" w:rsidRPr="005A7D8F" w:rsidRDefault="00E62281" w:rsidP="004C634B">
      <w:pPr>
        <w:numPr>
          <w:ilvl w:val="0"/>
          <w:numId w:val="1"/>
        </w:numPr>
        <w:spacing w:after="120" w:line="280" w:lineRule="exact"/>
      </w:pPr>
      <w:r w:rsidRPr="005A7D8F">
        <w:t>Se aprobă</w:t>
      </w:r>
      <w:r w:rsidR="00A42343" w:rsidRPr="005A7D8F">
        <w:t xml:space="preserve"> Raportul privind realizarea misiunii instituției de învățăm</w:t>
      </w:r>
      <w:r w:rsidR="00D07F9F">
        <w:t>â</w:t>
      </w:r>
      <w:r w:rsidR="00A42343" w:rsidRPr="005A7D8F">
        <w:t xml:space="preserve">nt, Liceul Academiei de Științe a Moldovei </w:t>
      </w:r>
      <w:r w:rsidR="00E6489D" w:rsidRPr="005A7D8F">
        <w:t>(LAȘM)</w:t>
      </w:r>
      <w:r w:rsidR="00A42343" w:rsidRPr="005A7D8F">
        <w:t xml:space="preserve"> pentru perioada 2006 -2016 (se anexează)</w:t>
      </w:r>
      <w:r w:rsidR="007749D1" w:rsidRPr="005A7D8F">
        <w:t>.</w:t>
      </w:r>
    </w:p>
    <w:p w:rsidR="00E71145" w:rsidRPr="005A7D8F" w:rsidRDefault="00E71145" w:rsidP="004C634B">
      <w:pPr>
        <w:numPr>
          <w:ilvl w:val="0"/>
          <w:numId w:val="1"/>
        </w:numPr>
        <w:spacing w:after="120" w:line="280" w:lineRule="exact"/>
      </w:pPr>
      <w:r w:rsidRPr="005A7D8F">
        <w:t xml:space="preserve">Se aprobă </w:t>
      </w:r>
      <w:r w:rsidR="00A42343" w:rsidRPr="005A7D8F">
        <w:t>Raportul de activitate a Universității Academiei de Științe a Moldovei (</w:t>
      </w:r>
      <w:proofErr w:type="spellStart"/>
      <w:r w:rsidR="00A42343" w:rsidRPr="005A7D8F">
        <w:t>UnAȘM</w:t>
      </w:r>
      <w:proofErr w:type="spellEnd"/>
      <w:r w:rsidR="00A42343" w:rsidRPr="005A7D8F">
        <w:t xml:space="preserve">) pentru perioada 2009 </w:t>
      </w:r>
      <w:r w:rsidR="00556E85" w:rsidRPr="005A7D8F">
        <w:t>–</w:t>
      </w:r>
      <w:r w:rsidR="00A42343" w:rsidRPr="005A7D8F">
        <w:t xml:space="preserve"> 2015</w:t>
      </w:r>
      <w:r w:rsidR="00556E85" w:rsidRPr="005A7D8F">
        <w:t xml:space="preserve"> (se anexează)</w:t>
      </w:r>
      <w:r w:rsidR="007749D1" w:rsidRPr="005A7D8F">
        <w:t>.</w:t>
      </w:r>
    </w:p>
    <w:p w:rsidR="00E62281" w:rsidRPr="005A7D8F" w:rsidRDefault="00E62281" w:rsidP="004C634B">
      <w:pPr>
        <w:numPr>
          <w:ilvl w:val="0"/>
          <w:numId w:val="1"/>
        </w:numPr>
        <w:spacing w:after="120" w:line="280" w:lineRule="exact"/>
      </w:pPr>
      <w:r w:rsidRPr="005A7D8F">
        <w:t>Se aprobă Statutul</w:t>
      </w:r>
      <w:r w:rsidR="007749D1" w:rsidRPr="005A7D8F">
        <w:t xml:space="preserve"> LAȘM</w:t>
      </w:r>
      <w:r w:rsidRPr="005A7D8F">
        <w:t xml:space="preserve"> (se anexează)</w:t>
      </w:r>
      <w:r w:rsidR="009E1257" w:rsidRPr="005A7D8F">
        <w:t>.</w:t>
      </w:r>
    </w:p>
    <w:p w:rsidR="00E62281" w:rsidRPr="005A7D8F" w:rsidRDefault="008B631C" w:rsidP="004C634B">
      <w:pPr>
        <w:numPr>
          <w:ilvl w:val="0"/>
          <w:numId w:val="1"/>
        </w:numPr>
        <w:spacing w:after="120" w:line="280" w:lineRule="exact"/>
      </w:pPr>
      <w:r w:rsidRPr="005A7D8F">
        <w:t>A</w:t>
      </w:r>
      <w:r w:rsidR="00124ED9" w:rsidRPr="005A7D8F">
        <w:t xml:space="preserve">ctivitatea cadrelor didactice </w:t>
      </w:r>
      <w:r w:rsidR="00E057FB">
        <w:t xml:space="preserve">din cadrul LAȘM </w:t>
      </w:r>
      <w:r w:rsidR="00124ED9" w:rsidRPr="005A7D8F">
        <w:t>se va focaliza pe</w:t>
      </w:r>
      <w:r w:rsidR="00A67BD1" w:rsidRPr="005A7D8F">
        <w:t xml:space="preserve"> următoarele aspecte</w:t>
      </w:r>
      <w:r w:rsidR="00124ED9" w:rsidRPr="005A7D8F">
        <w:t>:</w:t>
      </w:r>
      <w:r w:rsidRPr="005A7D8F">
        <w:t xml:space="preserve"> </w:t>
      </w:r>
    </w:p>
    <w:p w:rsidR="00E62281" w:rsidRPr="005A7D8F" w:rsidRDefault="00A67BD1" w:rsidP="004C634B">
      <w:pPr>
        <w:pStyle w:val="ListParagraph"/>
        <w:numPr>
          <w:ilvl w:val="0"/>
          <w:numId w:val="2"/>
        </w:numPr>
        <w:spacing w:line="280" w:lineRule="exact"/>
        <w:jc w:val="both"/>
      </w:pPr>
      <w:r w:rsidRPr="005A7D8F">
        <w:t xml:space="preserve">selectarea, </w:t>
      </w:r>
      <w:r w:rsidR="008B631C" w:rsidRPr="005A7D8F">
        <w:t>identificarea</w:t>
      </w:r>
      <w:r w:rsidR="00E62281" w:rsidRPr="005A7D8F">
        <w:t xml:space="preserve">, instruirea </w:t>
      </w:r>
      <w:r w:rsidR="008B631C" w:rsidRPr="005A7D8F">
        <w:t xml:space="preserve">și </w:t>
      </w:r>
      <w:r w:rsidRPr="005A7D8F">
        <w:t>inițierea</w:t>
      </w:r>
      <w:r w:rsidR="008B631C" w:rsidRPr="005A7D8F">
        <w:t xml:space="preserve"> </w:t>
      </w:r>
      <w:r w:rsidR="00E62281" w:rsidRPr="005A7D8F">
        <w:t xml:space="preserve">elevilor </w:t>
      </w:r>
      <w:r w:rsidR="008B631C" w:rsidRPr="005A7D8F">
        <w:t>capabili de performanțe</w:t>
      </w:r>
      <w:r w:rsidRPr="005A7D8F">
        <w:t>, în cercetări științifice fundamentale și aplicative</w:t>
      </w:r>
      <w:r w:rsidR="00E62281" w:rsidRPr="005A7D8F">
        <w:t xml:space="preserve">; </w:t>
      </w:r>
    </w:p>
    <w:p w:rsidR="00E62281" w:rsidRDefault="00A67BD1" w:rsidP="004C634B">
      <w:pPr>
        <w:numPr>
          <w:ilvl w:val="0"/>
          <w:numId w:val="2"/>
        </w:numPr>
        <w:spacing w:line="280" w:lineRule="exact"/>
        <w:jc w:val="both"/>
      </w:pPr>
      <w:r w:rsidRPr="005A7D8F">
        <w:t>cultivarea spiritului de cercetare și al inovației</w:t>
      </w:r>
      <w:r w:rsidR="00E62281" w:rsidRPr="005A7D8F">
        <w:t xml:space="preserve">; </w:t>
      </w:r>
    </w:p>
    <w:p w:rsidR="001B3D34" w:rsidRPr="005A7D8F" w:rsidRDefault="001B3D34" w:rsidP="001B3D34">
      <w:pPr>
        <w:numPr>
          <w:ilvl w:val="0"/>
          <w:numId w:val="2"/>
        </w:numPr>
        <w:spacing w:line="280" w:lineRule="exact"/>
        <w:jc w:val="both"/>
      </w:pPr>
      <w:r w:rsidRPr="005A7D8F">
        <w:t>aplicarea unei metodologii de admitere la LAȘM, care va asigura și asumarea responsabilității candidatului de a se dedica carierei profesionale în domeniul cercetării/inovări</w:t>
      </w:r>
      <w:r>
        <w:t>i</w:t>
      </w:r>
      <w:r w:rsidRPr="005A7D8F">
        <w:t>;</w:t>
      </w:r>
    </w:p>
    <w:p w:rsidR="001B3D34" w:rsidRPr="005A7D8F" w:rsidRDefault="001B3D34" w:rsidP="001B3D34">
      <w:pPr>
        <w:numPr>
          <w:ilvl w:val="0"/>
          <w:numId w:val="2"/>
        </w:numPr>
        <w:spacing w:line="280" w:lineRule="exact"/>
        <w:jc w:val="both"/>
      </w:pPr>
      <w:r w:rsidRPr="005A7D8F">
        <w:t>adaptarea sistemului educațional al LAȘM la strategiile Un AȘM și a instituțiilor AȘM, unde să fie îmbinată instruirea teoretică de calitate cu pregătirea practico-științifică în laboratoarele de specialitate din cadrul instituțiilor AȘM;</w:t>
      </w:r>
    </w:p>
    <w:p w:rsidR="001B3D34" w:rsidRPr="005A7D8F" w:rsidRDefault="001B3D34" w:rsidP="001B3D34">
      <w:pPr>
        <w:numPr>
          <w:ilvl w:val="0"/>
          <w:numId w:val="2"/>
        </w:numPr>
        <w:spacing w:line="280" w:lineRule="exact"/>
        <w:jc w:val="both"/>
      </w:pPr>
      <w:r w:rsidRPr="005A7D8F">
        <w:t xml:space="preserve">implicarea elevilor LAȘM cu comunicări la conferințele doctoranzilor și masteranzilor </w:t>
      </w:r>
      <w:proofErr w:type="spellStart"/>
      <w:r w:rsidRPr="005A7D8F">
        <w:t>UnAȘM</w:t>
      </w:r>
      <w:proofErr w:type="spellEnd"/>
      <w:r w:rsidRPr="005A7D8F">
        <w:t xml:space="preserve">, organizate în cadrul Cluster-ului </w:t>
      </w:r>
      <w:proofErr w:type="spellStart"/>
      <w:r w:rsidRPr="005A7D8F">
        <w:t>UnivER</w:t>
      </w:r>
      <w:proofErr w:type="spellEnd"/>
      <w:r w:rsidRPr="005A7D8F">
        <w:t xml:space="preserve"> SCIENCE, inclusiv delegarea acestora pentru vizitarea unor centre științifice de cercetare</w:t>
      </w:r>
      <w:r>
        <w:t>;</w:t>
      </w:r>
    </w:p>
    <w:p w:rsidR="001B3D34" w:rsidRDefault="001B3D34" w:rsidP="004C634B">
      <w:pPr>
        <w:numPr>
          <w:ilvl w:val="0"/>
          <w:numId w:val="2"/>
        </w:numPr>
        <w:spacing w:line="280" w:lineRule="exact"/>
        <w:jc w:val="both"/>
      </w:pPr>
      <w:r w:rsidRPr="005A7D8F">
        <w:t xml:space="preserve">antrenarea cadrelor ştiinţifice performante din cadrul </w:t>
      </w:r>
      <w:r w:rsidRPr="005A7D8F">
        <w:rPr>
          <w:rFonts w:ascii="Cambria Math" w:hAnsi="Cambria Math" w:cs="Cambria Math"/>
        </w:rPr>
        <w:t>Ș</w:t>
      </w:r>
      <w:r w:rsidRPr="005A7D8F">
        <w:t>colilor Doctorale în procesul didactic din LA</w:t>
      </w:r>
      <w:r w:rsidRPr="005A7D8F">
        <w:rPr>
          <w:rFonts w:ascii="Cambria Math" w:hAnsi="Cambria Math" w:cs="Cambria Math"/>
        </w:rPr>
        <w:t>Ș</w:t>
      </w:r>
      <w:r w:rsidRPr="005A7D8F">
        <w:t>M</w:t>
      </w:r>
      <w:r w:rsidR="0041358F">
        <w:t>.</w:t>
      </w:r>
    </w:p>
    <w:p w:rsidR="0041358F" w:rsidRPr="005A7D8F" w:rsidRDefault="0041358F" w:rsidP="0041358F">
      <w:pPr>
        <w:spacing w:line="280" w:lineRule="exact"/>
        <w:ind w:left="1080"/>
        <w:jc w:val="both"/>
      </w:pPr>
    </w:p>
    <w:p w:rsidR="009E63DF" w:rsidRPr="005A7D8F" w:rsidRDefault="00F72C8E" w:rsidP="0041358F">
      <w:pPr>
        <w:pStyle w:val="ListParagraph"/>
        <w:numPr>
          <w:ilvl w:val="0"/>
          <w:numId w:val="1"/>
        </w:numPr>
        <w:spacing w:line="280" w:lineRule="exact"/>
        <w:jc w:val="both"/>
      </w:pPr>
      <w:r>
        <w:t>Î</w:t>
      </w:r>
      <w:r w:rsidRPr="005A7D8F">
        <w:t>n termen de 30 de zile</w:t>
      </w:r>
      <w:r>
        <w:t xml:space="preserve"> de la aprobarea prezentei hotărâri, a se </w:t>
      </w:r>
      <w:r w:rsidRPr="005A7D8F">
        <w:t xml:space="preserve">elabora Regulamentul de organizare și desfășurare a admiterii la LAȘM </w:t>
      </w:r>
      <w:r w:rsidR="00A67BD1" w:rsidRPr="005A7D8F">
        <w:t xml:space="preserve">(Iu. Cristea, A. </w:t>
      </w:r>
      <w:proofErr w:type="spellStart"/>
      <w:r w:rsidR="00A67BD1" w:rsidRPr="005A7D8F">
        <w:t>Belinschi</w:t>
      </w:r>
      <w:proofErr w:type="spellEnd"/>
      <w:r w:rsidR="00A67BD1" w:rsidRPr="005A7D8F">
        <w:t>, V. Boian)</w:t>
      </w:r>
      <w:r>
        <w:t>.</w:t>
      </w:r>
    </w:p>
    <w:p w:rsidR="00987BF7" w:rsidRPr="005A7D8F" w:rsidRDefault="00987BF7" w:rsidP="004C634B">
      <w:pPr>
        <w:spacing w:line="280" w:lineRule="exact"/>
        <w:ind w:left="1080"/>
        <w:jc w:val="both"/>
      </w:pPr>
    </w:p>
    <w:p w:rsidR="00E62281" w:rsidRPr="005A7D8F" w:rsidRDefault="00E62281" w:rsidP="00F72C8E">
      <w:pPr>
        <w:pStyle w:val="ListParagraph"/>
        <w:numPr>
          <w:ilvl w:val="0"/>
          <w:numId w:val="1"/>
        </w:numPr>
        <w:spacing w:line="280" w:lineRule="exact"/>
      </w:pPr>
      <w:r w:rsidRPr="005A7D8F">
        <w:t>Universitatea AȘM</w:t>
      </w:r>
      <w:r w:rsidR="006D0652" w:rsidRPr="005A7D8F">
        <w:t xml:space="preserve"> (acad. M.</w:t>
      </w:r>
      <w:r w:rsidR="00941AC1" w:rsidRPr="005A7D8F">
        <w:t xml:space="preserve"> </w:t>
      </w:r>
      <w:r w:rsidR="006D0652" w:rsidRPr="005A7D8F">
        <w:t>Duca)</w:t>
      </w:r>
      <w:r w:rsidR="00074282" w:rsidRPr="005A7D8F">
        <w:t xml:space="preserve">, în </w:t>
      </w:r>
      <w:r w:rsidR="00F72C8E">
        <w:t xml:space="preserve">scopul orientării profesionale a studenților, </w:t>
      </w:r>
      <w:r w:rsidR="005705D5">
        <w:t xml:space="preserve">masteranzilor și doctoranzilor </w:t>
      </w:r>
      <w:r w:rsidR="00F72C8E">
        <w:t xml:space="preserve">va contribui la </w:t>
      </w:r>
      <w:r w:rsidR="00FC2134" w:rsidRPr="005A7D8F">
        <w:t>eficientizarea colaborării</w:t>
      </w:r>
      <w:r w:rsidR="006D0652" w:rsidRPr="005A7D8F">
        <w:t xml:space="preserve"> </w:t>
      </w:r>
      <w:proofErr w:type="spellStart"/>
      <w:r w:rsidR="006D0652" w:rsidRPr="005A7D8F">
        <w:t>clusteriale</w:t>
      </w:r>
      <w:proofErr w:type="spellEnd"/>
      <w:r w:rsidR="006D0652" w:rsidRPr="005A7D8F">
        <w:t xml:space="preserve"> prin</w:t>
      </w:r>
      <w:r w:rsidR="00074282" w:rsidRPr="005A7D8F">
        <w:t xml:space="preserve">: </w:t>
      </w:r>
      <w:r w:rsidRPr="005A7D8F">
        <w:t xml:space="preserve"> </w:t>
      </w:r>
    </w:p>
    <w:p w:rsidR="006D0652" w:rsidRPr="005A7D8F" w:rsidRDefault="006D0652" w:rsidP="004C634B">
      <w:pPr>
        <w:pStyle w:val="ListParagraph"/>
        <w:spacing w:line="280" w:lineRule="exact"/>
      </w:pPr>
    </w:p>
    <w:p w:rsidR="00E62281" w:rsidRPr="005A7D8F" w:rsidRDefault="00E62281" w:rsidP="00205031">
      <w:pPr>
        <w:spacing w:line="280" w:lineRule="exact"/>
        <w:ind w:left="1418" w:hanging="284"/>
        <w:jc w:val="both"/>
      </w:pPr>
      <w:r w:rsidRPr="005A7D8F">
        <w:t>a)  identificarea</w:t>
      </w:r>
      <w:r w:rsidR="00074282" w:rsidRPr="005A7D8F">
        <w:t xml:space="preserve">, promovarea </w:t>
      </w:r>
      <w:r w:rsidRPr="005A7D8F">
        <w:t>şi</w:t>
      </w:r>
      <w:r w:rsidR="00074282" w:rsidRPr="005A7D8F">
        <w:t xml:space="preserve"> </w:t>
      </w:r>
      <w:r w:rsidR="006D0652" w:rsidRPr="005A7D8F">
        <w:t xml:space="preserve">motivarea </w:t>
      </w:r>
      <w:r w:rsidR="006C3D91" w:rsidRPr="005A7D8F">
        <w:t xml:space="preserve">tinerilor </w:t>
      </w:r>
      <w:r w:rsidR="00FE37D7" w:rsidRPr="005A7D8F">
        <w:t xml:space="preserve">cu potențial creativ și intelectual înalt </w:t>
      </w:r>
      <w:r w:rsidR="006D0652" w:rsidRPr="005A7D8F">
        <w:t>spre alegerea carierei de cercetare/inovare</w:t>
      </w:r>
      <w:r w:rsidRPr="005A7D8F">
        <w:t xml:space="preserve">; </w:t>
      </w:r>
    </w:p>
    <w:p w:rsidR="00E62281" w:rsidRPr="005A7D8F" w:rsidRDefault="00E62281" w:rsidP="00205031">
      <w:pPr>
        <w:spacing w:line="280" w:lineRule="exact"/>
        <w:ind w:left="1418" w:hanging="284"/>
        <w:jc w:val="both"/>
      </w:pPr>
      <w:r w:rsidRPr="005A7D8F">
        <w:t xml:space="preserve">c) asigurarea excelenţei în predare şi educaţie prin aplicarea strategiilor şi tehnologiilor educaţionale moderne; </w:t>
      </w:r>
    </w:p>
    <w:p w:rsidR="00E62281" w:rsidRPr="005A7D8F" w:rsidRDefault="00E62281" w:rsidP="00205031">
      <w:pPr>
        <w:spacing w:line="280" w:lineRule="exact"/>
        <w:ind w:left="1418" w:hanging="284"/>
        <w:jc w:val="both"/>
      </w:pPr>
      <w:r w:rsidRPr="005A7D8F">
        <w:t xml:space="preserve">d) adaptarea obiectivelor, conţinuturilor şi strategiilor didactice la posibilităţile aptitudinale şi cerinţele studenţilor cu abilităţi înalte; </w:t>
      </w:r>
    </w:p>
    <w:p w:rsidR="00E62281" w:rsidRPr="005A7D8F" w:rsidRDefault="00E62281" w:rsidP="00205031">
      <w:pPr>
        <w:spacing w:line="280" w:lineRule="exact"/>
        <w:ind w:left="1418" w:hanging="284"/>
        <w:jc w:val="both"/>
      </w:pPr>
      <w:r w:rsidRPr="005A7D8F">
        <w:t xml:space="preserve">e) flexibilitatea procesului didactic prin organizarea instruirii în module, diversificarea ofertei curriculare din contul orelor opţionale şi al disciplinelor speciale; </w:t>
      </w:r>
    </w:p>
    <w:p w:rsidR="00EA4ECB" w:rsidRPr="005A7D8F" w:rsidRDefault="00EA4ECB" w:rsidP="00205031">
      <w:pPr>
        <w:numPr>
          <w:ilvl w:val="0"/>
          <w:numId w:val="3"/>
        </w:numPr>
        <w:spacing w:line="280" w:lineRule="exact"/>
        <w:ind w:left="1418" w:hanging="284"/>
        <w:jc w:val="both"/>
      </w:pPr>
      <w:r w:rsidRPr="005A7D8F">
        <w:t xml:space="preserve">implicarea studenților și masteranzilor  în activitățile </w:t>
      </w:r>
      <w:proofErr w:type="spellStart"/>
      <w:r w:rsidRPr="005A7D8F">
        <w:t>extracu</w:t>
      </w:r>
      <w:r w:rsidR="00FF65A1">
        <w:t>r</w:t>
      </w:r>
      <w:r w:rsidRPr="005A7D8F">
        <w:t>riculare</w:t>
      </w:r>
      <w:proofErr w:type="spellEnd"/>
      <w:r w:rsidRPr="005A7D8F">
        <w:t xml:space="preserve"> ale LAȘM;</w:t>
      </w:r>
    </w:p>
    <w:p w:rsidR="00E748B1" w:rsidRPr="005A7D8F" w:rsidRDefault="00E62281" w:rsidP="00205031">
      <w:pPr>
        <w:numPr>
          <w:ilvl w:val="0"/>
          <w:numId w:val="3"/>
        </w:numPr>
        <w:spacing w:line="280" w:lineRule="exact"/>
        <w:ind w:left="1418" w:hanging="284"/>
        <w:jc w:val="both"/>
      </w:pPr>
      <w:r w:rsidRPr="005A7D8F">
        <w:t>antrenarea</w:t>
      </w:r>
      <w:r w:rsidR="00EA4ECB" w:rsidRPr="005A7D8F">
        <w:t xml:space="preserve"> studenților, masteranzilor,</w:t>
      </w:r>
      <w:r w:rsidR="00E3106A" w:rsidRPr="005A7D8F">
        <w:t xml:space="preserve"> doctoranzilor în activitățile de cercetare din </w:t>
      </w:r>
      <w:r w:rsidR="00941AC1" w:rsidRPr="005A7D8F">
        <w:t>i</w:t>
      </w:r>
      <w:r w:rsidR="00E3106A" w:rsidRPr="005A7D8F">
        <w:t xml:space="preserve">nstitutele AȘM în conformitate cu prevederile </w:t>
      </w:r>
      <w:r w:rsidR="00E748B1" w:rsidRPr="005A7D8F">
        <w:t>contractual</w:t>
      </w:r>
      <w:r w:rsidR="006A25BE" w:rsidRPr="005A7D8F">
        <w:t>e</w:t>
      </w:r>
      <w:r w:rsidR="00E748B1" w:rsidRPr="005A7D8F">
        <w:t>;</w:t>
      </w:r>
    </w:p>
    <w:p w:rsidR="00E62281" w:rsidRPr="005A7D8F" w:rsidRDefault="00E748B1" w:rsidP="00205031">
      <w:pPr>
        <w:numPr>
          <w:ilvl w:val="0"/>
          <w:numId w:val="3"/>
        </w:numPr>
        <w:spacing w:line="280" w:lineRule="exact"/>
        <w:ind w:left="1418" w:hanging="284"/>
        <w:jc w:val="both"/>
      </w:pPr>
      <w:r w:rsidRPr="005A7D8F">
        <w:t xml:space="preserve">antrenarea </w:t>
      </w:r>
      <w:r w:rsidR="00E62281" w:rsidRPr="005A7D8F">
        <w:t xml:space="preserve">cadrelor ştiinţifice performante din </w:t>
      </w:r>
      <w:r w:rsidR="00E136D6" w:rsidRPr="005A7D8F">
        <w:t>cadrul Școlilor Doctorale</w:t>
      </w:r>
      <w:r w:rsidR="00941AC1" w:rsidRPr="005A7D8F">
        <w:t xml:space="preserve"> în procesul didactic din </w:t>
      </w:r>
      <w:proofErr w:type="spellStart"/>
      <w:r w:rsidR="00941AC1" w:rsidRPr="005A7D8F">
        <w:t>UnAŞM</w:t>
      </w:r>
      <w:proofErr w:type="spellEnd"/>
      <w:r w:rsidR="00941AC1" w:rsidRPr="005A7D8F">
        <w:t>.</w:t>
      </w:r>
    </w:p>
    <w:p w:rsidR="001A451D" w:rsidRPr="005A7D8F" w:rsidRDefault="001A451D" w:rsidP="004C634B">
      <w:pPr>
        <w:spacing w:line="280" w:lineRule="exact"/>
        <w:ind w:left="1800"/>
        <w:jc w:val="both"/>
        <w:rPr>
          <w:color w:val="FF0000"/>
        </w:rPr>
      </w:pPr>
    </w:p>
    <w:p w:rsidR="00E62281" w:rsidRPr="005A7D8F" w:rsidRDefault="00E62281" w:rsidP="000C4563">
      <w:pPr>
        <w:numPr>
          <w:ilvl w:val="0"/>
          <w:numId w:val="1"/>
        </w:numPr>
        <w:spacing w:line="280" w:lineRule="exact"/>
        <w:jc w:val="both"/>
      </w:pPr>
      <w:r w:rsidRPr="005A7D8F">
        <w:t xml:space="preserve">Instituțiile de cercetare din sfera științei și inovării </w:t>
      </w:r>
      <w:r w:rsidR="000C4563">
        <w:t xml:space="preserve">din cadrul Cluster-ului </w:t>
      </w:r>
      <w:proofErr w:type="spellStart"/>
      <w:r w:rsidR="000C4563">
        <w:t>UnivER</w:t>
      </w:r>
      <w:proofErr w:type="spellEnd"/>
      <w:r w:rsidR="000C4563">
        <w:t xml:space="preserve"> SCIENCE </w:t>
      </w:r>
      <w:r w:rsidRPr="005A7D8F">
        <w:t xml:space="preserve"> vor contribui prin: </w:t>
      </w:r>
    </w:p>
    <w:p w:rsidR="00E62281" w:rsidRPr="005A7D8F" w:rsidRDefault="00E62281" w:rsidP="004C634B">
      <w:pPr>
        <w:spacing w:line="280" w:lineRule="exact"/>
        <w:ind w:left="720"/>
      </w:pPr>
    </w:p>
    <w:p w:rsidR="00E62281" w:rsidRPr="005A7D8F" w:rsidRDefault="00E62281" w:rsidP="004C634B">
      <w:pPr>
        <w:pStyle w:val="ListParagraph"/>
        <w:numPr>
          <w:ilvl w:val="0"/>
          <w:numId w:val="4"/>
        </w:numPr>
        <w:spacing w:line="280" w:lineRule="exact"/>
        <w:ind w:left="1418" w:hanging="284"/>
        <w:jc w:val="both"/>
      </w:pPr>
      <w:r w:rsidRPr="005A7D8F">
        <w:t xml:space="preserve">identificarea cercetătorilor din cadrul </w:t>
      </w:r>
      <w:r w:rsidR="00B94A2E" w:rsidRPr="005A7D8F">
        <w:t>i</w:t>
      </w:r>
      <w:r w:rsidRPr="005A7D8F">
        <w:t xml:space="preserve">nstituțiilor AȘM responsabili pentru comunicarea cu profesorii din LAȘM și catedrele </w:t>
      </w:r>
      <w:proofErr w:type="spellStart"/>
      <w:r w:rsidRPr="005A7D8F">
        <w:t>UnAȘM</w:t>
      </w:r>
      <w:proofErr w:type="spellEnd"/>
      <w:r w:rsidRPr="005A7D8F">
        <w:t xml:space="preserve"> (c</w:t>
      </w:r>
      <w:r w:rsidR="00B94A2E" w:rsidRPr="005A7D8F">
        <w:t>â</w:t>
      </w:r>
      <w:r w:rsidRPr="005A7D8F">
        <w:t>te o persoan</w:t>
      </w:r>
      <w:r w:rsidR="00B94A2E" w:rsidRPr="005A7D8F">
        <w:t>ă</w:t>
      </w:r>
      <w:r w:rsidRPr="005A7D8F">
        <w:t xml:space="preserve"> din fiecare </w:t>
      </w:r>
      <w:r w:rsidR="00B94A2E" w:rsidRPr="005A7D8F">
        <w:t>i</w:t>
      </w:r>
      <w:r w:rsidRPr="005A7D8F">
        <w:t>nstituție din cadrul AȘM);</w:t>
      </w:r>
    </w:p>
    <w:p w:rsidR="00E62281" w:rsidRPr="005A7D8F" w:rsidRDefault="00E62281" w:rsidP="004C634B">
      <w:pPr>
        <w:numPr>
          <w:ilvl w:val="0"/>
          <w:numId w:val="4"/>
        </w:numPr>
        <w:spacing w:line="280" w:lineRule="exact"/>
        <w:ind w:left="1418" w:hanging="284"/>
        <w:jc w:val="both"/>
      </w:pPr>
      <w:r w:rsidRPr="005A7D8F">
        <w:t xml:space="preserve">organizarea excursiilor pentru elevii LAȘM și studenții </w:t>
      </w:r>
      <w:proofErr w:type="spellStart"/>
      <w:r w:rsidRPr="005A7D8F">
        <w:t>UnAȘM</w:t>
      </w:r>
      <w:proofErr w:type="spellEnd"/>
      <w:r w:rsidRPr="005A7D8F">
        <w:t xml:space="preserve"> în </w:t>
      </w:r>
      <w:r w:rsidR="004A4C43" w:rsidRPr="005A7D8F">
        <w:t>i</w:t>
      </w:r>
      <w:r w:rsidRPr="005A7D8F">
        <w:t xml:space="preserve">nstituțiile academice, în scopul </w:t>
      </w:r>
      <w:r w:rsidR="002A47A3" w:rsidRPr="005A7D8F">
        <w:t>familiarizării cu direcțiile</w:t>
      </w:r>
      <w:r w:rsidRPr="005A7D8F">
        <w:t xml:space="preserve"> de cercetare și personalitățil</w:t>
      </w:r>
      <w:r w:rsidR="002A47A3" w:rsidRPr="005A7D8F">
        <w:t>e</w:t>
      </w:r>
      <w:r w:rsidR="00FE6BE3" w:rsidRPr="005A7D8F">
        <w:t xml:space="preserve"> notorii din cadrul acestora;</w:t>
      </w:r>
    </w:p>
    <w:p w:rsidR="00E62281" w:rsidRPr="005A7D8F" w:rsidRDefault="009837FD" w:rsidP="004C634B">
      <w:pPr>
        <w:numPr>
          <w:ilvl w:val="0"/>
          <w:numId w:val="4"/>
        </w:numPr>
        <w:spacing w:line="280" w:lineRule="exact"/>
        <w:ind w:left="1418" w:hanging="284"/>
        <w:jc w:val="both"/>
      </w:pPr>
      <w:r w:rsidRPr="005A7D8F">
        <w:t xml:space="preserve"> menținerea și dezvoltarea </w:t>
      </w:r>
      <w:r w:rsidR="00E62281" w:rsidRPr="005A7D8F">
        <w:t>unei baze tehnico-materiale performante</w:t>
      </w:r>
      <w:r w:rsidR="00FE6BE3" w:rsidRPr="005A7D8F">
        <w:t xml:space="preserve"> pentru</w:t>
      </w:r>
      <w:r w:rsidR="00E62281" w:rsidRPr="005A7D8F">
        <w:t xml:space="preserve"> pregătirea şi iniţierea elevilor, studenţilor, masteranzilor şi doctoranzilor în cercetări ştiinţifice fund</w:t>
      </w:r>
      <w:r w:rsidR="00FE6BE3" w:rsidRPr="005A7D8F">
        <w:t>amentale şi ap</w:t>
      </w:r>
      <w:r w:rsidR="00E62281" w:rsidRPr="005A7D8F">
        <w:t>licative;</w:t>
      </w:r>
    </w:p>
    <w:p w:rsidR="00E62281" w:rsidRPr="005A7D8F" w:rsidRDefault="009837FD" w:rsidP="004C634B">
      <w:pPr>
        <w:numPr>
          <w:ilvl w:val="0"/>
          <w:numId w:val="4"/>
        </w:numPr>
        <w:spacing w:line="280" w:lineRule="exact"/>
        <w:ind w:left="1418" w:hanging="284"/>
        <w:jc w:val="both"/>
      </w:pPr>
      <w:r w:rsidRPr="005A7D8F">
        <w:t xml:space="preserve">stimularea și încurajarea </w:t>
      </w:r>
      <w:r w:rsidR="00E62281" w:rsidRPr="005A7D8F">
        <w:t>participării tinerilor la realizarea de proiecte ştiinţifice de interes naţional;</w:t>
      </w:r>
    </w:p>
    <w:p w:rsidR="00E62281" w:rsidRPr="005A7D8F" w:rsidRDefault="00E62281" w:rsidP="004C634B">
      <w:pPr>
        <w:numPr>
          <w:ilvl w:val="0"/>
          <w:numId w:val="4"/>
        </w:numPr>
        <w:spacing w:line="280" w:lineRule="exact"/>
        <w:ind w:left="1418" w:hanging="284"/>
        <w:jc w:val="both"/>
      </w:pPr>
      <w:r w:rsidRPr="005A7D8F">
        <w:t xml:space="preserve"> asigurarea angajării masteranzilor şi doctoranzilor (pe parcursul studiilor) în câmpul muncii prin cumul, inclusiv în cadrul diferitelor tipuri de proiecte</w:t>
      </w:r>
      <w:r w:rsidR="00CF7E47" w:rsidRPr="005A7D8F">
        <w:t xml:space="preserve"> (p</w:t>
      </w:r>
      <w:r w:rsidR="007C5159">
        <w:t>â</w:t>
      </w:r>
      <w:r w:rsidR="00CF7E47" w:rsidRPr="005A7D8F">
        <w:t>nă la 5%)</w:t>
      </w:r>
      <w:r w:rsidRPr="005A7D8F">
        <w:t xml:space="preserve">; </w:t>
      </w:r>
    </w:p>
    <w:p w:rsidR="00E62281" w:rsidRPr="005A7D8F" w:rsidRDefault="00E62281" w:rsidP="004C634B">
      <w:pPr>
        <w:numPr>
          <w:ilvl w:val="0"/>
          <w:numId w:val="4"/>
        </w:numPr>
        <w:spacing w:line="280" w:lineRule="exact"/>
        <w:ind w:left="1418" w:hanging="284"/>
        <w:jc w:val="both"/>
      </w:pPr>
      <w:r w:rsidRPr="005A7D8F">
        <w:t xml:space="preserve">implicarea celor mai buni elevi ai LAȘM, studenți și masteranzi ai </w:t>
      </w:r>
      <w:proofErr w:type="spellStart"/>
      <w:r w:rsidRPr="005A7D8F">
        <w:t>UnAȘM</w:t>
      </w:r>
      <w:proofErr w:type="spellEnd"/>
      <w:r w:rsidRPr="005A7D8F">
        <w:t xml:space="preserve"> în proiecte științifice </w:t>
      </w:r>
      <w:r w:rsidR="004A4C43" w:rsidRPr="005A7D8F">
        <w:t>i</w:t>
      </w:r>
      <w:r w:rsidRPr="005A7D8F">
        <w:t xml:space="preserve">nternaționale din cadrul </w:t>
      </w:r>
      <w:r w:rsidR="004A4C43" w:rsidRPr="005A7D8F">
        <w:t>i</w:t>
      </w:r>
      <w:r w:rsidRPr="005A7D8F">
        <w:t>nstituțiilor</w:t>
      </w:r>
      <w:r w:rsidR="00FE6BE3" w:rsidRPr="005A7D8F">
        <w:t>, cu posibilități de delegare în centre științifice internaționale</w:t>
      </w:r>
      <w:r w:rsidR="00E136D6" w:rsidRPr="005A7D8F">
        <w:t xml:space="preserve"> (p</w:t>
      </w:r>
      <w:r w:rsidR="007C5159">
        <w:t>â</w:t>
      </w:r>
      <w:r w:rsidR="00E136D6" w:rsidRPr="005A7D8F">
        <w:t>nă la 5%)</w:t>
      </w:r>
      <w:r w:rsidR="00FE6BE3" w:rsidRPr="005A7D8F">
        <w:t>;</w:t>
      </w:r>
    </w:p>
    <w:p w:rsidR="00E62281" w:rsidRPr="005A7D8F" w:rsidRDefault="00E62281" w:rsidP="004C634B">
      <w:pPr>
        <w:numPr>
          <w:ilvl w:val="0"/>
          <w:numId w:val="4"/>
        </w:numPr>
        <w:spacing w:line="280" w:lineRule="exact"/>
        <w:ind w:left="1418" w:hanging="284"/>
        <w:jc w:val="both"/>
      </w:pPr>
      <w:r w:rsidRPr="005A7D8F">
        <w:t xml:space="preserve">participarea studenților și masteranzilor </w:t>
      </w:r>
      <w:proofErr w:type="spellStart"/>
      <w:r w:rsidRPr="005A7D8F">
        <w:t>UnAȘM</w:t>
      </w:r>
      <w:proofErr w:type="spellEnd"/>
      <w:r w:rsidRPr="005A7D8F">
        <w:t xml:space="preserve"> implicați în proiecte de cercetare la lucrările conferințelor științifice internaționale</w:t>
      </w:r>
      <w:r w:rsidR="00E136D6" w:rsidRPr="005A7D8F">
        <w:t xml:space="preserve"> organizate în cadrul Școlilor Doctorale;</w:t>
      </w:r>
    </w:p>
    <w:p w:rsidR="00E62281" w:rsidRPr="005A7D8F" w:rsidRDefault="00E62281" w:rsidP="004C634B">
      <w:pPr>
        <w:numPr>
          <w:ilvl w:val="0"/>
          <w:numId w:val="4"/>
        </w:numPr>
        <w:spacing w:line="280" w:lineRule="exact"/>
        <w:ind w:left="1418" w:hanging="284"/>
        <w:jc w:val="both"/>
      </w:pPr>
      <w:r w:rsidRPr="005A7D8F">
        <w:t>asigurarea pregătirii elevilor și studenților pentru concursuri naționale și internaționale sub conducerea savanților din diferite domenii ale științei;</w:t>
      </w:r>
    </w:p>
    <w:p w:rsidR="00E62281" w:rsidRPr="005A7D8F" w:rsidRDefault="00FC18DA" w:rsidP="004C634B">
      <w:pPr>
        <w:numPr>
          <w:ilvl w:val="0"/>
          <w:numId w:val="4"/>
        </w:numPr>
        <w:spacing w:line="280" w:lineRule="exact"/>
        <w:ind w:left="1418" w:hanging="284"/>
        <w:jc w:val="both"/>
      </w:pPr>
      <w:r w:rsidRPr="005A7D8F">
        <w:t>antrena</w:t>
      </w:r>
      <w:r w:rsidR="00E62281" w:rsidRPr="005A7D8F">
        <w:t>r</w:t>
      </w:r>
      <w:r w:rsidRPr="005A7D8F">
        <w:t>ea</w:t>
      </w:r>
      <w:r w:rsidR="00E62281" w:rsidRPr="005A7D8F">
        <w:t xml:space="preserve"> cadrelor ştiinţifice performante în procesul didactic </w:t>
      </w:r>
      <w:r w:rsidRPr="005A7D8F">
        <w:t>al</w:t>
      </w:r>
      <w:r w:rsidR="00E62281" w:rsidRPr="005A7D8F">
        <w:t xml:space="preserve"> LAȘM şi </w:t>
      </w:r>
      <w:proofErr w:type="spellStart"/>
      <w:r w:rsidR="00E62281" w:rsidRPr="005A7D8F">
        <w:t>UnAŞM</w:t>
      </w:r>
      <w:proofErr w:type="spellEnd"/>
      <w:r w:rsidR="00E62281" w:rsidRPr="005A7D8F">
        <w:t>.</w:t>
      </w:r>
    </w:p>
    <w:p w:rsidR="00E62281" w:rsidRPr="005A7D8F" w:rsidRDefault="00E62281" w:rsidP="004C634B">
      <w:pPr>
        <w:spacing w:line="280" w:lineRule="exact"/>
        <w:ind w:left="720"/>
        <w:rPr>
          <w:color w:val="FF0000"/>
        </w:rPr>
      </w:pPr>
    </w:p>
    <w:p w:rsidR="00E62281" w:rsidRPr="005A7D8F" w:rsidRDefault="00367213" w:rsidP="004C634B">
      <w:pPr>
        <w:numPr>
          <w:ilvl w:val="0"/>
          <w:numId w:val="1"/>
        </w:numPr>
        <w:spacing w:line="280" w:lineRule="exact"/>
        <w:jc w:val="both"/>
      </w:pPr>
      <w:r w:rsidRPr="005A7D8F">
        <w:rPr>
          <w:bCs/>
          <w:iCs/>
        </w:rPr>
        <w:t xml:space="preserve">Se desemnează responsabil de realizarea </w:t>
      </w:r>
      <w:r w:rsidR="004A4C43" w:rsidRPr="005A7D8F">
        <w:rPr>
          <w:bCs/>
          <w:iCs/>
        </w:rPr>
        <w:t>prevederilor prezentei hotărâri</w:t>
      </w:r>
      <w:r w:rsidRPr="005A7D8F">
        <w:rPr>
          <w:bCs/>
          <w:iCs/>
        </w:rPr>
        <w:t xml:space="preserve"> dl </w:t>
      </w:r>
      <w:proofErr w:type="spellStart"/>
      <w:r w:rsidRPr="005A7D8F">
        <w:rPr>
          <w:bCs/>
          <w:iCs/>
        </w:rPr>
        <w:t>mem</w:t>
      </w:r>
      <w:proofErr w:type="spellEnd"/>
      <w:r w:rsidRPr="005A7D8F">
        <w:rPr>
          <w:bCs/>
          <w:iCs/>
        </w:rPr>
        <w:t>. cor. Ion</w:t>
      </w:r>
      <w:r w:rsidR="009B5FDE" w:rsidRPr="005A7D8F">
        <w:rPr>
          <w:bCs/>
          <w:iCs/>
        </w:rPr>
        <w:t xml:space="preserve"> </w:t>
      </w:r>
      <w:proofErr w:type="spellStart"/>
      <w:r w:rsidR="009B5FDE" w:rsidRPr="005A7D8F">
        <w:rPr>
          <w:bCs/>
          <w:iCs/>
        </w:rPr>
        <w:t>Guceac</w:t>
      </w:r>
      <w:proofErr w:type="spellEnd"/>
      <w:r w:rsidR="009B5FDE" w:rsidRPr="005A7D8F">
        <w:rPr>
          <w:bCs/>
          <w:iCs/>
        </w:rPr>
        <w:t>, vicepreședinte al AȘM</w:t>
      </w:r>
      <w:r w:rsidRPr="005A7D8F">
        <w:rPr>
          <w:bCs/>
          <w:iCs/>
        </w:rPr>
        <w:t>.</w:t>
      </w:r>
      <w:r w:rsidR="00E62281" w:rsidRPr="005A7D8F">
        <w:rPr>
          <w:bCs/>
          <w:iCs/>
        </w:rPr>
        <w:t xml:space="preserve"> </w:t>
      </w:r>
    </w:p>
    <w:p w:rsidR="00E62281" w:rsidRPr="005A7D8F" w:rsidRDefault="00E62281" w:rsidP="004C634B">
      <w:pPr>
        <w:spacing w:line="280" w:lineRule="exact"/>
        <w:jc w:val="both"/>
      </w:pPr>
    </w:p>
    <w:p w:rsidR="00C30EC3" w:rsidRDefault="00C30EC3" w:rsidP="00E62281">
      <w:pPr>
        <w:ind w:firstLine="708"/>
        <w:jc w:val="both"/>
        <w:rPr>
          <w:b/>
        </w:rPr>
      </w:pPr>
    </w:p>
    <w:p w:rsidR="005705D5" w:rsidRDefault="005705D5" w:rsidP="00E62281">
      <w:pPr>
        <w:ind w:firstLine="708"/>
        <w:jc w:val="both"/>
        <w:rPr>
          <w:b/>
        </w:rPr>
      </w:pPr>
    </w:p>
    <w:p w:rsidR="00E62281" w:rsidRPr="005A7D8F" w:rsidRDefault="00E62281" w:rsidP="00E62281">
      <w:pPr>
        <w:ind w:firstLine="708"/>
        <w:jc w:val="both"/>
        <w:rPr>
          <w:b/>
        </w:rPr>
      </w:pPr>
      <w:r w:rsidRPr="005A7D8F">
        <w:rPr>
          <w:b/>
        </w:rPr>
        <w:t>Preşedinte</w:t>
      </w:r>
      <w:r w:rsidR="004A4C43" w:rsidRPr="005A7D8F">
        <w:rPr>
          <w:b/>
        </w:rPr>
        <w:t>,</w:t>
      </w:r>
      <w:r w:rsidRPr="005A7D8F">
        <w:rPr>
          <w:b/>
        </w:rPr>
        <w:t xml:space="preserve"> </w:t>
      </w:r>
    </w:p>
    <w:p w:rsidR="00E62281" w:rsidRPr="005A7D8F" w:rsidRDefault="00E62281" w:rsidP="00E62281">
      <w:pPr>
        <w:ind w:firstLine="708"/>
        <w:jc w:val="both"/>
        <w:rPr>
          <w:b/>
        </w:rPr>
      </w:pPr>
      <w:r w:rsidRPr="005A7D8F">
        <w:rPr>
          <w:b/>
        </w:rPr>
        <w:t xml:space="preserve">academician                                                                </w:t>
      </w:r>
      <w:r w:rsidR="00FE41B0" w:rsidRPr="005A7D8F">
        <w:rPr>
          <w:b/>
        </w:rPr>
        <w:tab/>
      </w:r>
      <w:r w:rsidR="00FE41B0" w:rsidRPr="005A7D8F">
        <w:rPr>
          <w:b/>
        </w:rPr>
        <w:tab/>
      </w:r>
      <w:r w:rsidR="004A4C43" w:rsidRPr="005A7D8F">
        <w:rPr>
          <w:b/>
        </w:rPr>
        <w:tab/>
      </w:r>
      <w:r w:rsidRPr="005A7D8F">
        <w:rPr>
          <w:b/>
        </w:rPr>
        <w:t>Gh</w:t>
      </w:r>
      <w:r w:rsidR="004A4C43" w:rsidRPr="005A7D8F">
        <w:rPr>
          <w:b/>
        </w:rPr>
        <w:t xml:space="preserve">eorghe </w:t>
      </w:r>
      <w:r w:rsidRPr="005A7D8F">
        <w:rPr>
          <w:b/>
        </w:rPr>
        <w:t>DUCA</w:t>
      </w:r>
    </w:p>
    <w:p w:rsidR="00E62281" w:rsidRPr="005A7D8F" w:rsidRDefault="00E62281" w:rsidP="00E62281">
      <w:pPr>
        <w:jc w:val="both"/>
        <w:rPr>
          <w:b/>
        </w:rPr>
      </w:pPr>
    </w:p>
    <w:p w:rsidR="004A4C43" w:rsidRPr="005A7D8F" w:rsidRDefault="00E62281" w:rsidP="00E62281">
      <w:pPr>
        <w:ind w:firstLine="708"/>
        <w:jc w:val="both"/>
        <w:rPr>
          <w:b/>
        </w:rPr>
      </w:pPr>
      <w:r w:rsidRPr="005A7D8F">
        <w:rPr>
          <w:b/>
        </w:rPr>
        <w:t xml:space="preserve">Secretar ştiinţific general, </w:t>
      </w:r>
    </w:p>
    <w:p w:rsidR="00E62281" w:rsidRPr="005A7D8F" w:rsidRDefault="004A4C43" w:rsidP="005705D5">
      <w:pPr>
        <w:ind w:firstLine="708"/>
        <w:jc w:val="both"/>
      </w:pPr>
      <w:r w:rsidRPr="005A7D8F">
        <w:rPr>
          <w:b/>
        </w:rPr>
        <w:t>doctor h</w:t>
      </w:r>
      <w:r w:rsidR="00E62281" w:rsidRPr="005A7D8F">
        <w:rPr>
          <w:b/>
        </w:rPr>
        <w:t>ab</w:t>
      </w:r>
      <w:r w:rsidRPr="005A7D8F">
        <w:rPr>
          <w:b/>
        </w:rPr>
        <w:t>ilitat</w:t>
      </w:r>
      <w:r w:rsidR="00E62281" w:rsidRPr="005A7D8F">
        <w:rPr>
          <w:b/>
        </w:rPr>
        <w:tab/>
      </w:r>
      <w:r w:rsidR="00E62281" w:rsidRPr="005A7D8F">
        <w:rPr>
          <w:b/>
        </w:rPr>
        <w:tab/>
      </w:r>
      <w:r w:rsidR="00E62281" w:rsidRPr="005A7D8F">
        <w:rPr>
          <w:b/>
        </w:rPr>
        <w:tab/>
      </w:r>
      <w:r w:rsidR="00E62281" w:rsidRPr="005A7D8F">
        <w:rPr>
          <w:b/>
        </w:rPr>
        <w:tab/>
      </w:r>
      <w:r w:rsidR="00E62281" w:rsidRPr="005A7D8F">
        <w:rPr>
          <w:b/>
        </w:rPr>
        <w:tab/>
      </w:r>
      <w:r w:rsidR="00FE41B0" w:rsidRPr="005A7D8F">
        <w:rPr>
          <w:b/>
        </w:rPr>
        <w:tab/>
      </w:r>
      <w:r w:rsidR="00FE41B0" w:rsidRPr="005A7D8F">
        <w:rPr>
          <w:b/>
        </w:rPr>
        <w:tab/>
      </w:r>
      <w:r w:rsidRPr="005A7D8F">
        <w:rPr>
          <w:b/>
        </w:rPr>
        <w:tab/>
      </w:r>
      <w:r w:rsidR="00E62281" w:rsidRPr="005A7D8F">
        <w:rPr>
          <w:b/>
        </w:rPr>
        <w:t>Aurelia H</w:t>
      </w:r>
      <w:r w:rsidR="009E1257" w:rsidRPr="005A7D8F">
        <w:rPr>
          <w:b/>
        </w:rPr>
        <w:t>ANGANU</w:t>
      </w:r>
      <w:r w:rsidR="00E62281" w:rsidRPr="005A7D8F">
        <w:t xml:space="preserve">  </w:t>
      </w:r>
    </w:p>
    <w:p w:rsidR="00E62281" w:rsidRPr="005A7D8F" w:rsidRDefault="00E62281" w:rsidP="00E62281"/>
    <w:sectPr w:rsidR="00E62281" w:rsidRPr="005A7D8F" w:rsidSect="004C634B">
      <w:pgSz w:w="12240" w:h="15840"/>
      <w:pgMar w:top="567" w:right="964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091"/>
    <w:multiLevelType w:val="hybridMultilevel"/>
    <w:tmpl w:val="7BE8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D68CE"/>
    <w:multiLevelType w:val="hybridMultilevel"/>
    <w:tmpl w:val="4BEE4F68"/>
    <w:lvl w:ilvl="0" w:tplc="81B8D6DC">
      <w:start w:val="6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3905FF0"/>
    <w:multiLevelType w:val="hybridMultilevel"/>
    <w:tmpl w:val="C6CC2BE2"/>
    <w:lvl w:ilvl="0" w:tplc="6CCC57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C4F5D33"/>
    <w:multiLevelType w:val="hybridMultilevel"/>
    <w:tmpl w:val="BDF2641C"/>
    <w:lvl w:ilvl="0" w:tplc="05AE61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08"/>
  <w:characterSpacingControl w:val="doNotCompress"/>
  <w:compat/>
  <w:rsids>
    <w:rsidRoot w:val="00E62281"/>
    <w:rsid w:val="00034063"/>
    <w:rsid w:val="00074282"/>
    <w:rsid w:val="000963E8"/>
    <w:rsid w:val="000C4563"/>
    <w:rsid w:val="000D3B18"/>
    <w:rsid w:val="00124ED9"/>
    <w:rsid w:val="001503F1"/>
    <w:rsid w:val="00183844"/>
    <w:rsid w:val="001A451D"/>
    <w:rsid w:val="001A68C2"/>
    <w:rsid w:val="001B3D34"/>
    <w:rsid w:val="001C2CAE"/>
    <w:rsid w:val="00205031"/>
    <w:rsid w:val="002436F6"/>
    <w:rsid w:val="00263223"/>
    <w:rsid w:val="00282A2B"/>
    <w:rsid w:val="002949B0"/>
    <w:rsid w:val="002A47A3"/>
    <w:rsid w:val="00367213"/>
    <w:rsid w:val="00386E8E"/>
    <w:rsid w:val="00387378"/>
    <w:rsid w:val="003A1745"/>
    <w:rsid w:val="003C4B91"/>
    <w:rsid w:val="0041358F"/>
    <w:rsid w:val="004617C4"/>
    <w:rsid w:val="00462A33"/>
    <w:rsid w:val="00476CB9"/>
    <w:rsid w:val="004A2D6A"/>
    <w:rsid w:val="004A4C43"/>
    <w:rsid w:val="004C634B"/>
    <w:rsid w:val="005062F6"/>
    <w:rsid w:val="005475F9"/>
    <w:rsid w:val="005563DF"/>
    <w:rsid w:val="00556E85"/>
    <w:rsid w:val="005705D5"/>
    <w:rsid w:val="0058094E"/>
    <w:rsid w:val="005A7D8F"/>
    <w:rsid w:val="005F0D88"/>
    <w:rsid w:val="00673C82"/>
    <w:rsid w:val="006A25BE"/>
    <w:rsid w:val="006B4B4E"/>
    <w:rsid w:val="006C3D91"/>
    <w:rsid w:val="006D0652"/>
    <w:rsid w:val="00752274"/>
    <w:rsid w:val="00752DAC"/>
    <w:rsid w:val="007622BD"/>
    <w:rsid w:val="007749D1"/>
    <w:rsid w:val="007C5159"/>
    <w:rsid w:val="008B3F88"/>
    <w:rsid w:val="008B631C"/>
    <w:rsid w:val="008E540C"/>
    <w:rsid w:val="00941AC1"/>
    <w:rsid w:val="009837FD"/>
    <w:rsid w:val="00987BF7"/>
    <w:rsid w:val="009B5FDE"/>
    <w:rsid w:val="009E1257"/>
    <w:rsid w:val="009E63DF"/>
    <w:rsid w:val="00A42343"/>
    <w:rsid w:val="00A67BD1"/>
    <w:rsid w:val="00A86703"/>
    <w:rsid w:val="00AD4F3F"/>
    <w:rsid w:val="00AE5E30"/>
    <w:rsid w:val="00AF420D"/>
    <w:rsid w:val="00B121B4"/>
    <w:rsid w:val="00B3756B"/>
    <w:rsid w:val="00B76BD8"/>
    <w:rsid w:val="00B94A2E"/>
    <w:rsid w:val="00C30EC3"/>
    <w:rsid w:val="00C76427"/>
    <w:rsid w:val="00CB7A44"/>
    <w:rsid w:val="00CF6709"/>
    <w:rsid w:val="00CF7E47"/>
    <w:rsid w:val="00D07F9F"/>
    <w:rsid w:val="00D51F55"/>
    <w:rsid w:val="00D53983"/>
    <w:rsid w:val="00E026CB"/>
    <w:rsid w:val="00E02B17"/>
    <w:rsid w:val="00E057FB"/>
    <w:rsid w:val="00E136D6"/>
    <w:rsid w:val="00E17D1D"/>
    <w:rsid w:val="00E3106A"/>
    <w:rsid w:val="00E62281"/>
    <w:rsid w:val="00E6489D"/>
    <w:rsid w:val="00E71145"/>
    <w:rsid w:val="00E748B1"/>
    <w:rsid w:val="00EA4ECB"/>
    <w:rsid w:val="00F72C8E"/>
    <w:rsid w:val="00FC18DA"/>
    <w:rsid w:val="00FC2134"/>
    <w:rsid w:val="00FD6AE5"/>
    <w:rsid w:val="00FE37D7"/>
    <w:rsid w:val="00FE41B0"/>
    <w:rsid w:val="00FE6BE3"/>
    <w:rsid w:val="00FF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Heading1">
    <w:name w:val="heading 1"/>
    <w:basedOn w:val="Normal"/>
    <w:next w:val="Normal"/>
    <w:link w:val="Heading1Char"/>
    <w:qFormat/>
    <w:rsid w:val="00E62281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62281"/>
    <w:pPr>
      <w:keepNext/>
      <w:spacing w:after="120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2281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E62281"/>
    <w:rPr>
      <w:rFonts w:ascii="Times New Roman" w:eastAsia="Times New Roman" w:hAnsi="Times New Roman" w:cs="Times New Roman"/>
      <w:b/>
      <w:sz w:val="26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E622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2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Vatamanu</dc:creator>
  <cp:lastModifiedBy>Colaborator</cp:lastModifiedBy>
  <cp:revision>5</cp:revision>
  <cp:lastPrinted>2016-04-12T11:31:00Z</cp:lastPrinted>
  <dcterms:created xsi:type="dcterms:W3CDTF">2016-04-22T10:58:00Z</dcterms:created>
  <dcterms:modified xsi:type="dcterms:W3CDTF">2016-04-22T13:08:00Z</dcterms:modified>
</cp:coreProperties>
</file>